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E04" w:rsidRPr="00E2701E" w:rsidRDefault="00B16E04">
      <w:pPr>
        <w:rPr>
          <w:rFonts w:cstheme="minorHAnsi"/>
        </w:rPr>
      </w:pPr>
    </w:p>
    <w:p w:rsidR="00B16E04" w:rsidRPr="00E2701E" w:rsidRDefault="00B16E04">
      <w:pPr>
        <w:rPr>
          <w:rFonts w:cstheme="minorHAnsi"/>
        </w:rPr>
      </w:pPr>
    </w:p>
    <w:tbl>
      <w:tblPr>
        <w:tblStyle w:val="TableGrid"/>
        <w:tblW w:w="13467" w:type="dxa"/>
        <w:tblLook w:val="04A0" w:firstRow="1" w:lastRow="0" w:firstColumn="1" w:lastColumn="0" w:noHBand="0" w:noVBand="1"/>
      </w:tblPr>
      <w:tblGrid>
        <w:gridCol w:w="6516"/>
        <w:gridCol w:w="6951"/>
      </w:tblGrid>
      <w:tr w:rsidR="00A60EF9" w:rsidRPr="00E2701E" w:rsidTr="006C62B0">
        <w:tc>
          <w:tcPr>
            <w:tcW w:w="6516" w:type="dxa"/>
          </w:tcPr>
          <w:p w:rsidR="00A60EF9" w:rsidRPr="001378FA" w:rsidRDefault="00BF6E3E" w:rsidP="00B55781">
            <w:pPr>
              <w:spacing w:line="235" w:lineRule="atLeast"/>
              <w:jc w:val="both"/>
              <w:rPr>
                <w:rFonts w:eastAsia="Times New Roman" w:cstheme="minorHAnsi"/>
                <w:color w:val="000000"/>
                <w:sz w:val="32"/>
              </w:rPr>
            </w:pPr>
            <w:r w:rsidRPr="001378FA">
              <w:rPr>
                <w:rFonts w:eastAsia="Times New Roman" w:cstheme="minorHAnsi"/>
                <w:color w:val="000000"/>
                <w:sz w:val="32"/>
              </w:rPr>
              <w:t xml:space="preserve">India’s existing </w:t>
            </w:r>
            <w:r w:rsidR="00A60EF9" w:rsidRPr="001378FA">
              <w:rPr>
                <w:rFonts w:eastAsia="Times New Roman" w:cstheme="minorHAnsi"/>
                <w:color w:val="000000"/>
                <w:sz w:val="32"/>
              </w:rPr>
              <w:t>FTAs</w:t>
            </w:r>
          </w:p>
        </w:tc>
        <w:tc>
          <w:tcPr>
            <w:tcW w:w="6951" w:type="dxa"/>
          </w:tcPr>
          <w:p w:rsidR="00A60EF9" w:rsidRPr="001378FA" w:rsidRDefault="00A60EF9" w:rsidP="00B55781">
            <w:pPr>
              <w:spacing w:line="235" w:lineRule="atLeast"/>
              <w:jc w:val="both"/>
              <w:rPr>
                <w:rFonts w:eastAsia="Times New Roman" w:cstheme="minorHAnsi"/>
                <w:color w:val="000000"/>
                <w:sz w:val="32"/>
              </w:rPr>
            </w:pPr>
            <w:r w:rsidRPr="001378FA">
              <w:rPr>
                <w:rFonts w:eastAsia="Times New Roman" w:cstheme="minorHAnsi"/>
                <w:color w:val="000000"/>
                <w:sz w:val="32"/>
              </w:rPr>
              <w:t>Major issues/concerns related to the Rules of Origin</w:t>
            </w:r>
          </w:p>
        </w:tc>
      </w:tr>
      <w:tr w:rsidR="00A60EF9" w:rsidRPr="00E2701E" w:rsidTr="00E02CF1">
        <w:tc>
          <w:tcPr>
            <w:tcW w:w="13467" w:type="dxa"/>
            <w:gridSpan w:val="2"/>
          </w:tcPr>
          <w:p w:rsidR="00A60EF9" w:rsidRPr="001378FA" w:rsidRDefault="00A60EF9" w:rsidP="00A60EF9">
            <w:pPr>
              <w:spacing w:after="160" w:line="235" w:lineRule="atLeast"/>
              <w:jc w:val="both"/>
              <w:rPr>
                <w:rFonts w:eastAsia="Times New Roman" w:cstheme="minorHAnsi"/>
                <w:b/>
                <w:color w:val="000000"/>
                <w:sz w:val="32"/>
              </w:rPr>
            </w:pPr>
          </w:p>
          <w:p w:rsidR="00A60EF9" w:rsidRPr="001378FA" w:rsidRDefault="00A60EF9" w:rsidP="00A60EF9">
            <w:pPr>
              <w:spacing w:after="160" w:line="235" w:lineRule="atLeast"/>
              <w:jc w:val="both"/>
              <w:rPr>
                <w:rFonts w:eastAsia="Times New Roman" w:cstheme="minorHAnsi"/>
                <w:b/>
                <w:color w:val="FF0000"/>
                <w:sz w:val="32"/>
              </w:rPr>
            </w:pPr>
            <w:r w:rsidRPr="001378FA">
              <w:rPr>
                <w:rFonts w:eastAsia="Times New Roman" w:cstheme="minorHAnsi"/>
                <w:b/>
                <w:color w:val="FF0000"/>
                <w:sz w:val="32"/>
              </w:rPr>
              <w:t xml:space="preserve">1. India-Japan Comprehensive Economic Partnership Agreement (CEPA) </w:t>
            </w:r>
          </w:p>
          <w:p w:rsidR="00A60EF9" w:rsidRPr="001378FA" w:rsidRDefault="00A60EF9" w:rsidP="00B55781">
            <w:pPr>
              <w:spacing w:line="235" w:lineRule="atLeast"/>
              <w:jc w:val="both"/>
              <w:rPr>
                <w:rFonts w:eastAsia="Times New Roman" w:cstheme="minorHAnsi"/>
                <w:color w:val="000000"/>
                <w:sz w:val="32"/>
              </w:rPr>
            </w:pPr>
          </w:p>
        </w:tc>
      </w:tr>
      <w:tr w:rsidR="00A60EF9" w:rsidRPr="00E2701E" w:rsidTr="006C62B0">
        <w:tc>
          <w:tcPr>
            <w:tcW w:w="6516" w:type="dxa"/>
          </w:tcPr>
          <w:p w:rsidR="001378FA" w:rsidRPr="001378FA" w:rsidRDefault="00A60EF9" w:rsidP="001378FA">
            <w:pPr>
              <w:pStyle w:val="ListParagraph"/>
              <w:numPr>
                <w:ilvl w:val="0"/>
                <w:numId w:val="15"/>
              </w:numPr>
              <w:spacing w:after="160" w:line="235" w:lineRule="atLeast"/>
              <w:jc w:val="both"/>
              <w:rPr>
                <w:rFonts w:eastAsia="Times New Roman" w:cstheme="minorHAnsi"/>
                <w:color w:val="000000"/>
              </w:rPr>
            </w:pPr>
            <w:r w:rsidRPr="001378FA">
              <w:rPr>
                <w:rFonts w:eastAsia="Times New Roman" w:cstheme="minorHAnsi"/>
                <w:color w:val="000000"/>
              </w:rPr>
              <w:t>IJCEPA was signed on 16</w:t>
            </w:r>
            <w:r w:rsidRPr="001378FA">
              <w:rPr>
                <w:rFonts w:eastAsia="Times New Roman" w:cstheme="minorHAnsi"/>
                <w:color w:val="000000"/>
                <w:vertAlign w:val="superscript"/>
              </w:rPr>
              <w:t>th</w:t>
            </w:r>
            <w:r w:rsidRPr="001378FA">
              <w:rPr>
                <w:rFonts w:eastAsia="Times New Roman" w:cstheme="minorHAnsi"/>
                <w:color w:val="000000"/>
              </w:rPr>
              <w:t xml:space="preserve"> Feb, 2011 and came into force on 1</w:t>
            </w:r>
            <w:r w:rsidRPr="001378FA">
              <w:rPr>
                <w:rFonts w:eastAsia="Times New Roman" w:cstheme="minorHAnsi"/>
                <w:color w:val="000000"/>
                <w:vertAlign w:val="superscript"/>
              </w:rPr>
              <w:t>st</w:t>
            </w:r>
            <w:r w:rsidRPr="001378FA">
              <w:rPr>
                <w:rFonts w:eastAsia="Times New Roman" w:cstheme="minorHAnsi"/>
                <w:color w:val="000000"/>
              </w:rPr>
              <w:t> </w:t>
            </w:r>
            <w:r w:rsidRPr="001378FA">
              <w:rPr>
                <w:rFonts w:eastAsia="Times New Roman" w:cstheme="minorHAnsi"/>
                <w:color w:val="005A95"/>
              </w:rPr>
              <w:t>August 2011.</w:t>
            </w:r>
            <w:r w:rsidRPr="001378FA">
              <w:rPr>
                <w:rFonts w:eastAsia="Times New Roman" w:cstheme="minorHAnsi"/>
                <w:color w:val="000000"/>
              </w:rPr>
              <w:t> </w:t>
            </w:r>
          </w:p>
          <w:p w:rsidR="00A60EF9" w:rsidRPr="001378FA" w:rsidRDefault="00A60EF9" w:rsidP="001378FA">
            <w:pPr>
              <w:pStyle w:val="ListParagraph"/>
              <w:numPr>
                <w:ilvl w:val="0"/>
                <w:numId w:val="15"/>
              </w:numPr>
              <w:spacing w:after="160" w:line="235" w:lineRule="atLeast"/>
              <w:jc w:val="both"/>
              <w:rPr>
                <w:rFonts w:eastAsia="Times New Roman" w:cstheme="minorHAnsi"/>
                <w:color w:val="000000"/>
              </w:rPr>
            </w:pPr>
            <w:r w:rsidRPr="001378FA">
              <w:rPr>
                <w:rFonts w:eastAsia="Times New Roman" w:cstheme="minorHAnsi"/>
                <w:color w:val="000000" w:themeColor="text1"/>
              </w:rPr>
              <w:t xml:space="preserve">Now </w:t>
            </w:r>
            <w:r w:rsidRPr="001378FA">
              <w:rPr>
                <w:rFonts w:eastAsia="Times New Roman" w:cstheme="minorHAnsi"/>
                <w:color w:val="000000"/>
              </w:rPr>
              <w:t>the Japanese side has shown its willingness to resolve the outstanding issues through discussions in Joint Committee or Sub-committees under the institutional mechanism of IJCEPA. </w:t>
            </w:r>
          </w:p>
          <w:p w:rsidR="00A60EF9" w:rsidRPr="001378FA" w:rsidRDefault="00A60EF9" w:rsidP="001378FA">
            <w:pPr>
              <w:pStyle w:val="ListParagraph"/>
              <w:numPr>
                <w:ilvl w:val="0"/>
                <w:numId w:val="15"/>
              </w:numPr>
              <w:spacing w:after="160" w:line="235" w:lineRule="atLeast"/>
              <w:jc w:val="both"/>
              <w:rPr>
                <w:rFonts w:eastAsia="Times New Roman" w:cstheme="minorHAnsi"/>
                <w:color w:val="000000"/>
              </w:rPr>
            </w:pPr>
            <w:r w:rsidRPr="001378FA">
              <w:rPr>
                <w:rFonts w:eastAsia="Times New Roman" w:cstheme="minorHAnsi"/>
                <w:color w:val="000000"/>
              </w:rPr>
              <w:t xml:space="preserve">Accordingly, Sub-committees on Rules of Origin  of India and </w:t>
            </w:r>
            <w:proofErr w:type="spellStart"/>
            <w:r w:rsidRPr="001378FA">
              <w:rPr>
                <w:rFonts w:eastAsia="Times New Roman" w:cstheme="minorHAnsi"/>
                <w:color w:val="000000"/>
              </w:rPr>
              <w:t>Janpa</w:t>
            </w:r>
            <w:proofErr w:type="spellEnd"/>
            <w:r w:rsidRPr="001378FA">
              <w:rPr>
                <w:rFonts w:eastAsia="Times New Roman" w:cstheme="minorHAnsi"/>
                <w:color w:val="000000"/>
              </w:rPr>
              <w:t xml:space="preserve"> are going to have bilateral meetings to resolve the pending issues very shortly.</w:t>
            </w:r>
          </w:p>
          <w:p w:rsidR="00A60EF9" w:rsidRPr="00E2701E" w:rsidRDefault="00A60EF9" w:rsidP="00B55781">
            <w:pPr>
              <w:spacing w:line="235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951" w:type="dxa"/>
          </w:tcPr>
          <w:p w:rsidR="00A60EF9" w:rsidRPr="002C5A07" w:rsidRDefault="00A60EF9" w:rsidP="00B55781">
            <w:pPr>
              <w:spacing w:line="235" w:lineRule="atLeast"/>
              <w:jc w:val="both"/>
              <w:rPr>
                <w:rFonts w:eastAsia="Times New Roman" w:cstheme="minorHAnsi"/>
                <w:color w:val="000000"/>
              </w:rPr>
            </w:pPr>
            <w:r w:rsidRPr="002C5A07">
              <w:rPr>
                <w:rFonts w:eastAsia="Times New Roman" w:cstheme="minorHAnsi"/>
                <w:color w:val="000000"/>
              </w:rPr>
              <w:t>     The Japanese side has raised various issues like</w:t>
            </w:r>
            <w:r w:rsidR="003F1E14">
              <w:rPr>
                <w:rFonts w:eastAsia="Times New Roman" w:cstheme="minorHAnsi"/>
                <w:color w:val="000000"/>
              </w:rPr>
              <w:t>:</w:t>
            </w:r>
          </w:p>
          <w:p w:rsidR="007F73AE" w:rsidRPr="007F73AE" w:rsidRDefault="007F73AE" w:rsidP="007F73AE">
            <w:pPr>
              <w:numPr>
                <w:ilvl w:val="0"/>
                <w:numId w:val="3"/>
              </w:numPr>
              <w:spacing w:line="235" w:lineRule="atLeast"/>
              <w:jc w:val="both"/>
              <w:rPr>
                <w:rFonts w:eastAsia="Times New Roman" w:cstheme="minorHAnsi"/>
                <w:color w:val="000000"/>
                <w:shd w:val="clear" w:color="auto" w:fill="FFFFFF"/>
              </w:rPr>
            </w:pPr>
            <w:r w:rsidRPr="003F1E14">
              <w:rPr>
                <w:rFonts w:eastAsia="Times New Roman" w:cstheme="minorHAnsi"/>
                <w:color w:val="000000"/>
                <w:shd w:val="clear" w:color="auto" w:fill="FFFFFF"/>
                <w:lang w:val="en-US"/>
              </w:rPr>
              <w:t>Introduction of Electronic Origin Data Exchange System</w:t>
            </w:r>
          </w:p>
          <w:p w:rsidR="006B3F52" w:rsidRPr="006B3F52" w:rsidRDefault="003F1E14" w:rsidP="007F73A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Introduction of Self-Certification System</w:t>
            </w:r>
          </w:p>
          <w:p w:rsidR="003F1E14" w:rsidRPr="00BF6E3E" w:rsidRDefault="003F1E14" w:rsidP="007F73A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BF6E3E">
              <w:rPr>
                <w:rFonts w:eastAsia="Times New Roman" w:cstheme="minorHAnsi"/>
                <w:bCs/>
                <w:color w:val="000000"/>
              </w:rPr>
              <w:t>PSR related issues:</w:t>
            </w:r>
          </w:p>
          <w:p w:rsidR="00A60EF9" w:rsidRPr="002C5A07" w:rsidRDefault="00A60EF9" w:rsidP="007F73AE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2C5A07">
              <w:rPr>
                <w:rFonts w:eastAsia="Times New Roman" w:cstheme="minorHAnsi"/>
                <w:bCs/>
                <w:color w:val="000000"/>
              </w:rPr>
              <w:t>Introduction of PSRs for specific chemicals under Chapters 29, 39 and 40,</w:t>
            </w:r>
          </w:p>
          <w:p w:rsidR="00A60EF9" w:rsidRPr="002C5A07" w:rsidRDefault="00A60EF9" w:rsidP="007F73AE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2C5A07">
              <w:rPr>
                <w:rFonts w:eastAsia="Times New Roman" w:cstheme="minorHAnsi"/>
                <w:bCs/>
                <w:color w:val="000000"/>
              </w:rPr>
              <w:t>Amendment of PSRs for specific chemicals under Chapters 29 and 32 and</w:t>
            </w:r>
          </w:p>
          <w:p w:rsidR="00A60EF9" w:rsidRPr="00BF6E3E" w:rsidRDefault="00A60EF9" w:rsidP="007F73AE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2C5A07">
              <w:rPr>
                <w:rFonts w:eastAsia="Times New Roman" w:cstheme="minorHAnsi"/>
                <w:bCs/>
                <w:color w:val="000000"/>
              </w:rPr>
              <w:t>Amendment of PSRs for Soy sauce, Miso and Instant Miso Soup</w:t>
            </w:r>
          </w:p>
          <w:p w:rsidR="003F1E14" w:rsidRDefault="003F1E14" w:rsidP="003F1E1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India’s concerns:</w:t>
            </w:r>
          </w:p>
          <w:p w:rsidR="003F1E14" w:rsidRPr="003F1E14" w:rsidRDefault="003F1E14" w:rsidP="007F73A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95535B">
              <w:rPr>
                <w:rFonts w:ascii="Times New Roman" w:eastAsia="Times New Roman" w:hAnsi="Times New Roman" w:cs="Times New Roman"/>
                <w:lang w:eastAsia="en-IN"/>
              </w:rPr>
              <w:t xml:space="preserve">Liberalization of PSRs for </w:t>
            </w:r>
            <w:r w:rsidRPr="0095535B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Gems &amp; Jewellery products</w:t>
            </w:r>
            <w:r w:rsidRPr="0095535B">
              <w:rPr>
                <w:rFonts w:ascii="Times New Roman" w:eastAsia="Times New Roman" w:hAnsi="Times New Roman" w:cs="Times New Roman"/>
                <w:lang w:eastAsia="en-IN"/>
              </w:rPr>
              <w:t xml:space="preserve"> and improvement of operational procedures</w:t>
            </w:r>
          </w:p>
          <w:p w:rsidR="003F1E14" w:rsidRPr="003F1E14" w:rsidRDefault="003F1E14" w:rsidP="007F73A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S</w:t>
            </w:r>
            <w:r w:rsidRPr="0095535B">
              <w:rPr>
                <w:rFonts w:ascii="Times New Roman" w:eastAsia="Times New Roman" w:hAnsi="Times New Roman" w:cs="Times New Roman"/>
                <w:lang w:eastAsia="en-IN"/>
              </w:rPr>
              <w:t>trengthen of PSR for Copper products and steel products</w:t>
            </w:r>
          </w:p>
          <w:p w:rsidR="003F1E14" w:rsidRPr="003F1E14" w:rsidRDefault="003F1E14" w:rsidP="007F73A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95535B">
              <w:rPr>
                <w:rFonts w:ascii="Times New Roman" w:eastAsia="Times New Roman" w:hAnsi="Times New Roman" w:cs="Times New Roman"/>
                <w:lang w:eastAsia="en-IN"/>
              </w:rPr>
              <w:t xml:space="preserve">The change in the PSR of </w:t>
            </w:r>
            <w:r w:rsidRPr="0095535B">
              <w:rPr>
                <w:rFonts w:ascii="Times New Roman" w:eastAsia="Times New Roman" w:hAnsi="Times New Roman" w:cs="Times New Roman"/>
                <w:b/>
                <w:lang w:eastAsia="en-IN"/>
              </w:rPr>
              <w:t>Nickel Sulphate</w:t>
            </w:r>
            <w:r>
              <w:rPr>
                <w:rFonts w:ascii="Times New Roman" w:eastAsia="Times New Roman" w:hAnsi="Times New Roman" w:cs="Times New Roman"/>
                <w:b/>
                <w:lang w:eastAsia="en-IN"/>
              </w:rPr>
              <w:t>.</w:t>
            </w:r>
          </w:p>
          <w:p w:rsidR="00A60EF9" w:rsidRPr="00E2701E" w:rsidRDefault="00A60EF9" w:rsidP="00B55781">
            <w:pPr>
              <w:spacing w:line="235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A60EF9" w:rsidRPr="00E2701E" w:rsidTr="006A6316">
        <w:tc>
          <w:tcPr>
            <w:tcW w:w="13467" w:type="dxa"/>
            <w:gridSpan w:val="2"/>
          </w:tcPr>
          <w:p w:rsidR="00A60EF9" w:rsidRDefault="00A60EF9" w:rsidP="00A60EF9">
            <w:pPr>
              <w:rPr>
                <w:rFonts w:eastAsia="Times New Roman" w:cstheme="minorHAnsi"/>
                <w:b/>
                <w:color w:val="000000"/>
              </w:rPr>
            </w:pPr>
          </w:p>
          <w:p w:rsidR="00A60EF9" w:rsidRPr="001378FA" w:rsidRDefault="00A60EF9" w:rsidP="00A60EF9">
            <w:pPr>
              <w:rPr>
                <w:rFonts w:eastAsia="Times New Roman" w:cstheme="minorHAnsi"/>
                <w:color w:val="FF0000"/>
                <w:sz w:val="32"/>
                <w:szCs w:val="28"/>
              </w:rPr>
            </w:pPr>
            <w:r w:rsidRPr="001378FA">
              <w:rPr>
                <w:rFonts w:eastAsia="Times New Roman" w:cstheme="minorHAnsi"/>
                <w:b/>
                <w:color w:val="FF0000"/>
                <w:sz w:val="32"/>
                <w:szCs w:val="28"/>
              </w:rPr>
              <w:t>2. India-Korea  Comprehensive Economic Partnership Agreement (CEPA)</w:t>
            </w:r>
            <w:r w:rsidRPr="001378FA">
              <w:rPr>
                <w:rFonts w:eastAsia="Times New Roman" w:cstheme="minorHAnsi"/>
                <w:color w:val="FF0000"/>
                <w:sz w:val="32"/>
                <w:szCs w:val="28"/>
              </w:rPr>
              <w:t xml:space="preserve">  </w:t>
            </w:r>
          </w:p>
          <w:p w:rsidR="00A60EF9" w:rsidRPr="001378FA" w:rsidRDefault="00A60EF9" w:rsidP="00B55781">
            <w:pPr>
              <w:spacing w:line="235" w:lineRule="atLeast"/>
              <w:jc w:val="both"/>
              <w:rPr>
                <w:rFonts w:eastAsia="Times New Roman" w:cstheme="minorHAnsi"/>
                <w:color w:val="FF0000"/>
                <w:sz w:val="28"/>
                <w:szCs w:val="28"/>
                <w:shd w:val="clear" w:color="auto" w:fill="FFFFFF"/>
              </w:rPr>
            </w:pPr>
          </w:p>
          <w:p w:rsidR="00A60EF9" w:rsidRPr="002C5A07" w:rsidRDefault="00A60EF9" w:rsidP="00B55781">
            <w:pPr>
              <w:spacing w:line="235" w:lineRule="atLeast"/>
              <w:jc w:val="both"/>
              <w:rPr>
                <w:rFonts w:eastAsia="Times New Roman" w:cstheme="minorHAnsi"/>
                <w:color w:val="000000"/>
                <w:shd w:val="clear" w:color="auto" w:fill="FFFFFF"/>
              </w:rPr>
            </w:pPr>
          </w:p>
        </w:tc>
      </w:tr>
      <w:tr w:rsidR="00A60EF9" w:rsidRPr="00E2701E" w:rsidTr="006C62B0">
        <w:tc>
          <w:tcPr>
            <w:tcW w:w="6516" w:type="dxa"/>
          </w:tcPr>
          <w:p w:rsidR="00A60EF9" w:rsidRPr="001378FA" w:rsidRDefault="00A60EF9" w:rsidP="001378FA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000000"/>
              </w:rPr>
            </w:pPr>
            <w:r w:rsidRPr="001378FA">
              <w:rPr>
                <w:rFonts w:eastAsia="Times New Roman" w:cstheme="minorHAnsi"/>
                <w:color w:val="000000"/>
              </w:rPr>
              <w:lastRenderedPageBreak/>
              <w:t xml:space="preserve">IK CEPA was signed on August 7, 2009 and came into effect on 1st Jan, 2010. </w:t>
            </w:r>
          </w:p>
          <w:p w:rsidR="001378FA" w:rsidRDefault="00A60EF9" w:rsidP="001378FA">
            <w:pPr>
              <w:pStyle w:val="NormalWeb"/>
              <w:numPr>
                <w:ilvl w:val="0"/>
                <w:numId w:val="16"/>
              </w:numPr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color w:val="333333"/>
              </w:rPr>
            </w:pPr>
            <w:r w:rsidRPr="00E2701E">
              <w:rPr>
                <w:rFonts w:asciiTheme="minorHAnsi" w:hAnsiTheme="minorHAnsi" w:cstheme="minorHAnsi"/>
                <w:color w:val="333333"/>
              </w:rPr>
              <w:t>The 9</w:t>
            </w:r>
            <w:r w:rsidRPr="00E2701E">
              <w:rPr>
                <w:rFonts w:asciiTheme="minorHAnsi" w:hAnsiTheme="minorHAnsi" w:cstheme="minorHAnsi"/>
                <w:color w:val="333333"/>
                <w:vertAlign w:val="superscript"/>
              </w:rPr>
              <w:t>th</w:t>
            </w:r>
            <w:r w:rsidRPr="00E2701E">
              <w:rPr>
                <w:rStyle w:val="apple-converted-space"/>
                <w:rFonts w:asciiTheme="minorHAnsi" w:hAnsiTheme="minorHAnsi" w:cstheme="minorHAnsi"/>
                <w:color w:val="333333"/>
              </w:rPr>
              <w:t> </w:t>
            </w:r>
            <w:r w:rsidRPr="00E2701E">
              <w:rPr>
                <w:rFonts w:asciiTheme="minorHAnsi" w:hAnsiTheme="minorHAnsi" w:cstheme="minorHAnsi"/>
                <w:color w:val="333333"/>
              </w:rPr>
              <w:t>round of India-Republic of Korea (ROK) CEPA up</w:t>
            </w:r>
            <w:r>
              <w:rPr>
                <w:rFonts w:asciiTheme="minorHAnsi" w:hAnsiTheme="minorHAnsi" w:cstheme="minorHAnsi"/>
                <w:color w:val="333333"/>
              </w:rPr>
              <w:t>grade</w:t>
            </w:r>
            <w:r w:rsidRPr="00E2701E">
              <w:rPr>
                <w:rFonts w:asciiTheme="minorHAnsi" w:hAnsiTheme="minorHAnsi" w:cstheme="minorHAnsi"/>
                <w:color w:val="333333"/>
              </w:rPr>
              <w:t xml:space="preserve"> negotiation was held in Seoul from November 3-4, 2022.</w:t>
            </w:r>
            <w:r w:rsidRPr="00E2701E">
              <w:rPr>
                <w:rStyle w:val="apple-converted-space"/>
                <w:rFonts w:asciiTheme="minorHAnsi" w:hAnsiTheme="minorHAnsi" w:cstheme="minorHAnsi"/>
                <w:color w:val="333333"/>
              </w:rPr>
              <w:t> </w:t>
            </w:r>
            <w:r w:rsidRPr="001378FA">
              <w:rPr>
                <w:rFonts w:asciiTheme="minorHAnsi" w:hAnsiTheme="minorHAnsi" w:cstheme="minorHAnsi"/>
                <w:color w:val="333333"/>
              </w:rPr>
              <w:t>Sub Group on Rules of Origin held in-depth discussions on various issue</w:t>
            </w:r>
            <w:r w:rsidR="006C62B0" w:rsidRPr="001378FA">
              <w:rPr>
                <w:rFonts w:asciiTheme="minorHAnsi" w:hAnsiTheme="minorHAnsi" w:cstheme="minorHAnsi"/>
                <w:color w:val="333333"/>
              </w:rPr>
              <w:t>s including PSRs</w:t>
            </w:r>
            <w:r w:rsidRPr="001378FA">
              <w:rPr>
                <w:rFonts w:asciiTheme="minorHAnsi" w:hAnsiTheme="minorHAnsi" w:cstheme="minorHAnsi"/>
                <w:color w:val="333333"/>
              </w:rPr>
              <w:t>.</w:t>
            </w:r>
          </w:p>
          <w:p w:rsidR="00A60EF9" w:rsidRPr="001378FA" w:rsidRDefault="00A60EF9" w:rsidP="001378FA">
            <w:pPr>
              <w:pStyle w:val="NormalWeb"/>
              <w:numPr>
                <w:ilvl w:val="0"/>
                <w:numId w:val="16"/>
              </w:numPr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color w:val="333333"/>
              </w:rPr>
            </w:pPr>
            <w:r w:rsidRPr="001378FA">
              <w:rPr>
                <w:rStyle w:val="apple-converted-space"/>
                <w:rFonts w:asciiTheme="minorHAnsi" w:hAnsiTheme="minorHAnsi" w:cstheme="minorHAnsi"/>
                <w:color w:val="333333"/>
              </w:rPr>
              <w:t> </w:t>
            </w:r>
            <w:r w:rsidRPr="001378FA">
              <w:rPr>
                <w:rFonts w:asciiTheme="minorHAnsi" w:hAnsiTheme="minorHAnsi" w:cstheme="minorHAnsi"/>
                <w:color w:val="333333"/>
              </w:rPr>
              <w:t>It was</w:t>
            </w:r>
            <w:r w:rsidR="00BF6E3E" w:rsidRPr="001378FA">
              <w:rPr>
                <w:rFonts w:asciiTheme="minorHAnsi" w:hAnsiTheme="minorHAnsi" w:cstheme="minorHAnsi"/>
                <w:color w:val="333333"/>
              </w:rPr>
              <w:t xml:space="preserve"> also </w:t>
            </w:r>
            <w:r w:rsidRPr="001378FA">
              <w:rPr>
                <w:rFonts w:asciiTheme="minorHAnsi" w:hAnsiTheme="minorHAnsi" w:cstheme="minorHAnsi"/>
                <w:color w:val="333333"/>
              </w:rPr>
              <w:t xml:space="preserve"> agreed that the 10</w:t>
            </w:r>
            <w:r w:rsidRPr="001378FA">
              <w:rPr>
                <w:rFonts w:asciiTheme="minorHAnsi" w:hAnsiTheme="minorHAnsi" w:cstheme="minorHAnsi"/>
                <w:color w:val="333333"/>
                <w:vertAlign w:val="superscript"/>
              </w:rPr>
              <w:t>th</w:t>
            </w:r>
            <w:r w:rsidRPr="001378FA">
              <w:rPr>
                <w:rStyle w:val="apple-converted-space"/>
                <w:rFonts w:asciiTheme="minorHAnsi" w:hAnsiTheme="minorHAnsi" w:cstheme="minorHAnsi"/>
                <w:color w:val="333333"/>
              </w:rPr>
              <w:t> </w:t>
            </w:r>
            <w:r w:rsidRPr="001378FA">
              <w:rPr>
                <w:rFonts w:asciiTheme="minorHAnsi" w:hAnsiTheme="minorHAnsi" w:cstheme="minorHAnsi"/>
                <w:color w:val="333333"/>
              </w:rPr>
              <w:t>round of CEPA upgradation negotiations will be hosted by India in  2023.</w:t>
            </w:r>
          </w:p>
          <w:p w:rsidR="00A60EF9" w:rsidRPr="00E2701E" w:rsidRDefault="00A60EF9" w:rsidP="00B55781">
            <w:pPr>
              <w:spacing w:line="235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951" w:type="dxa"/>
          </w:tcPr>
          <w:p w:rsidR="003F1E14" w:rsidRDefault="003F1E14" w:rsidP="00B55781">
            <w:pPr>
              <w:spacing w:line="235" w:lineRule="atLeast"/>
              <w:jc w:val="both"/>
              <w:rPr>
                <w:rFonts w:eastAsia="Times New Roman" w:cstheme="minorHAnsi"/>
                <w:color w:val="000000"/>
                <w:shd w:val="clear" w:color="auto" w:fill="FFFFFF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</w:rPr>
              <w:t>Issues related to the Customs Procedures</w:t>
            </w:r>
          </w:p>
          <w:p w:rsidR="003F1E14" w:rsidRDefault="003F1E14" w:rsidP="00B55781">
            <w:pPr>
              <w:spacing w:line="235" w:lineRule="atLeast"/>
              <w:jc w:val="both"/>
              <w:rPr>
                <w:rFonts w:eastAsia="Times New Roman" w:cstheme="minorHAnsi"/>
                <w:color w:val="000000"/>
                <w:shd w:val="clear" w:color="auto" w:fill="FFFFFF"/>
              </w:rPr>
            </w:pPr>
          </w:p>
          <w:p w:rsidR="00263DB6" w:rsidRPr="003F1E14" w:rsidRDefault="00EF15B4" w:rsidP="007F73AE">
            <w:pPr>
              <w:numPr>
                <w:ilvl w:val="0"/>
                <w:numId w:val="10"/>
              </w:numPr>
              <w:spacing w:line="235" w:lineRule="atLeast"/>
              <w:jc w:val="both"/>
              <w:rPr>
                <w:rFonts w:eastAsia="Times New Roman" w:cstheme="minorHAnsi"/>
                <w:color w:val="000000"/>
                <w:shd w:val="clear" w:color="auto" w:fill="FFFFFF"/>
              </w:rPr>
            </w:pPr>
            <w:r w:rsidRPr="003F1E14">
              <w:rPr>
                <w:rFonts w:eastAsia="Times New Roman" w:cstheme="minorHAnsi"/>
                <w:color w:val="000000"/>
                <w:shd w:val="clear" w:color="auto" w:fill="FFFFFF"/>
                <w:lang w:val="en-US"/>
              </w:rPr>
              <w:t>Introduction of Electronic Origin Data Exchange System</w:t>
            </w:r>
          </w:p>
          <w:p w:rsidR="00263DB6" w:rsidRPr="003F1E14" w:rsidRDefault="00EF15B4" w:rsidP="007F73AE">
            <w:pPr>
              <w:numPr>
                <w:ilvl w:val="0"/>
                <w:numId w:val="10"/>
              </w:numPr>
              <w:spacing w:line="235" w:lineRule="atLeast"/>
              <w:jc w:val="both"/>
              <w:rPr>
                <w:rFonts w:eastAsia="Times New Roman" w:cstheme="minorHAnsi"/>
                <w:color w:val="000000"/>
                <w:shd w:val="clear" w:color="auto" w:fill="FFFFFF"/>
              </w:rPr>
            </w:pPr>
            <w:r w:rsidRPr="003F1E14">
              <w:rPr>
                <w:rFonts w:eastAsia="Times New Roman" w:cstheme="minorHAnsi"/>
                <w:color w:val="000000"/>
                <w:shd w:val="clear" w:color="auto" w:fill="FFFFFF"/>
                <w:lang w:val="en-US"/>
              </w:rPr>
              <w:t>Improvement of Post-importation claims for preferential tariff treatment (Reg. Article 4.8)</w:t>
            </w:r>
          </w:p>
          <w:p w:rsidR="00263DB6" w:rsidRPr="003F1E14" w:rsidRDefault="00EF15B4" w:rsidP="007F73AE">
            <w:pPr>
              <w:numPr>
                <w:ilvl w:val="0"/>
                <w:numId w:val="10"/>
              </w:numPr>
              <w:spacing w:line="235" w:lineRule="atLeast"/>
              <w:jc w:val="both"/>
              <w:rPr>
                <w:rFonts w:eastAsia="Times New Roman" w:cstheme="minorHAnsi"/>
                <w:color w:val="000000"/>
                <w:shd w:val="clear" w:color="auto" w:fill="FFFFFF"/>
              </w:rPr>
            </w:pPr>
            <w:r w:rsidRPr="003F1E14">
              <w:rPr>
                <w:rFonts w:eastAsia="Times New Roman" w:cstheme="minorHAnsi"/>
                <w:color w:val="000000"/>
                <w:shd w:val="clear" w:color="auto" w:fill="FFFFFF"/>
                <w:lang w:val="en-US"/>
              </w:rPr>
              <w:t xml:space="preserve">Abolishment of exchanging of names and specimen signatures of authorized officials. </w:t>
            </w:r>
          </w:p>
          <w:p w:rsidR="00263DB6" w:rsidRPr="003F1E14" w:rsidRDefault="00EF15B4" w:rsidP="007F73AE">
            <w:pPr>
              <w:numPr>
                <w:ilvl w:val="0"/>
                <w:numId w:val="10"/>
              </w:numPr>
              <w:spacing w:line="235" w:lineRule="atLeast"/>
              <w:jc w:val="both"/>
              <w:rPr>
                <w:rFonts w:eastAsia="Times New Roman" w:cstheme="minorHAnsi"/>
                <w:color w:val="000000"/>
                <w:shd w:val="clear" w:color="auto" w:fill="FFFFFF"/>
              </w:rPr>
            </w:pPr>
            <w:r w:rsidRPr="003F1E14">
              <w:rPr>
                <w:rFonts w:eastAsia="Times New Roman" w:cstheme="minorHAnsi"/>
                <w:color w:val="000000"/>
                <w:shd w:val="clear" w:color="auto" w:fill="FFFFFF"/>
                <w:lang w:val="en-US"/>
              </w:rPr>
              <w:t>Removal of FOB Value in the Certificate of Origin Form</w:t>
            </w:r>
          </w:p>
          <w:p w:rsidR="00263DB6" w:rsidRPr="003F1E14" w:rsidRDefault="00EF15B4" w:rsidP="007F73AE">
            <w:pPr>
              <w:numPr>
                <w:ilvl w:val="0"/>
                <w:numId w:val="10"/>
              </w:numPr>
              <w:spacing w:line="235" w:lineRule="atLeast"/>
              <w:jc w:val="both"/>
              <w:rPr>
                <w:rFonts w:eastAsia="Times New Roman" w:cstheme="minorHAnsi"/>
                <w:color w:val="000000"/>
                <w:shd w:val="clear" w:color="auto" w:fill="FFFFFF"/>
              </w:rPr>
            </w:pPr>
            <w:r w:rsidRPr="003F1E14">
              <w:rPr>
                <w:rFonts w:eastAsia="Times New Roman" w:cstheme="minorHAnsi"/>
                <w:color w:val="000000"/>
                <w:shd w:val="clear" w:color="auto" w:fill="FFFFFF"/>
                <w:lang w:val="en-US"/>
              </w:rPr>
              <w:t>Discussions on PSR</w:t>
            </w:r>
            <w:r w:rsidR="007F73AE">
              <w:rPr>
                <w:rFonts w:eastAsia="Times New Roman" w:cstheme="minorHAnsi"/>
                <w:color w:val="000000"/>
                <w:shd w:val="clear" w:color="auto" w:fill="FFFFFF"/>
                <w:lang w:val="en-US"/>
              </w:rPr>
              <w:t>:</w:t>
            </w:r>
          </w:p>
          <w:p w:rsidR="007F73AE" w:rsidRPr="007F73AE" w:rsidRDefault="00A60EF9" w:rsidP="007F73AE">
            <w:pPr>
              <w:pStyle w:val="ListParagraph"/>
              <w:numPr>
                <w:ilvl w:val="1"/>
                <w:numId w:val="10"/>
              </w:numPr>
              <w:spacing w:line="235" w:lineRule="atLeast"/>
              <w:jc w:val="both"/>
              <w:rPr>
                <w:rFonts w:eastAsia="Times New Roman" w:cstheme="minorHAnsi"/>
                <w:color w:val="000000"/>
              </w:rPr>
            </w:pPr>
            <w:r w:rsidRPr="007F73AE">
              <w:rPr>
                <w:rFonts w:eastAsia="Times New Roman" w:cstheme="minorHAnsi"/>
                <w:color w:val="000000"/>
                <w:shd w:val="clear" w:color="auto" w:fill="FFFFFF"/>
              </w:rPr>
              <w:t>India</w:t>
            </w:r>
            <w:r w:rsidR="007F73AE">
              <w:rPr>
                <w:rFonts w:eastAsia="Times New Roman" w:cstheme="minorHAnsi"/>
                <w:color w:val="000000"/>
                <w:shd w:val="clear" w:color="auto" w:fill="FFFFFF"/>
              </w:rPr>
              <w:t xml:space="preserve">’s proposal includes amendment in PSRs </w:t>
            </w:r>
            <w:r w:rsidRPr="007F73AE">
              <w:rPr>
                <w:rFonts w:eastAsia="Times New Roman" w:cstheme="minorHAnsi"/>
                <w:color w:val="000000"/>
                <w:shd w:val="clear" w:color="auto" w:fill="FFFFFF"/>
              </w:rPr>
              <w:t xml:space="preserve">for 274 lines </w:t>
            </w:r>
          </w:p>
          <w:p w:rsidR="00A60EF9" w:rsidRPr="007F73AE" w:rsidRDefault="00A60EF9" w:rsidP="007F73AE">
            <w:pPr>
              <w:pStyle w:val="ListParagraph"/>
              <w:numPr>
                <w:ilvl w:val="1"/>
                <w:numId w:val="10"/>
              </w:numPr>
              <w:spacing w:line="235" w:lineRule="atLeast"/>
              <w:jc w:val="both"/>
              <w:rPr>
                <w:rFonts w:eastAsia="Times New Roman" w:cstheme="minorHAnsi"/>
                <w:color w:val="000000"/>
              </w:rPr>
            </w:pPr>
            <w:r w:rsidRPr="007F73AE">
              <w:rPr>
                <w:rFonts w:eastAsia="Times New Roman" w:cstheme="minorHAnsi"/>
                <w:color w:val="000000"/>
                <w:shd w:val="clear" w:color="auto" w:fill="FFFFFF"/>
              </w:rPr>
              <w:t>the revised Proposals from Korea</w:t>
            </w:r>
            <w:r w:rsidR="007F73AE">
              <w:rPr>
                <w:rFonts w:eastAsia="Times New Roman" w:cstheme="minorHAnsi"/>
                <w:color w:val="000000"/>
                <w:shd w:val="clear" w:color="auto" w:fill="FFFFFF"/>
              </w:rPr>
              <w:t xml:space="preserve"> includes amendment in PSRs of </w:t>
            </w:r>
            <w:r w:rsidRPr="007F73AE">
              <w:rPr>
                <w:rFonts w:eastAsia="Times New Roman" w:cstheme="minorHAnsi"/>
                <w:color w:val="000000"/>
                <w:shd w:val="clear" w:color="auto" w:fill="FFFFFF"/>
              </w:rPr>
              <w:t xml:space="preserve">  349 lines. </w:t>
            </w:r>
          </w:p>
        </w:tc>
      </w:tr>
      <w:tr w:rsidR="00A60EF9" w:rsidRPr="00E2701E" w:rsidTr="00E83DC8">
        <w:tc>
          <w:tcPr>
            <w:tcW w:w="13467" w:type="dxa"/>
            <w:gridSpan w:val="2"/>
          </w:tcPr>
          <w:p w:rsidR="00A60EF9" w:rsidRDefault="00A60EF9" w:rsidP="00A60EF9">
            <w:pPr>
              <w:spacing w:line="235" w:lineRule="atLeast"/>
              <w:jc w:val="both"/>
              <w:rPr>
                <w:rFonts w:cstheme="minorHAnsi"/>
                <w:b/>
                <w:bCs/>
                <w:cs/>
                <w:lang w:bidi="hi-IN"/>
              </w:rPr>
            </w:pPr>
          </w:p>
          <w:p w:rsidR="00A60EF9" w:rsidRPr="001378FA" w:rsidRDefault="00A60EF9" w:rsidP="00A60EF9">
            <w:pPr>
              <w:spacing w:line="235" w:lineRule="atLeast"/>
              <w:jc w:val="both"/>
              <w:rPr>
                <w:rFonts w:cstheme="minorHAnsi"/>
                <w:b/>
                <w:color w:val="FF0000"/>
                <w:sz w:val="32"/>
              </w:rPr>
            </w:pPr>
            <w:r w:rsidRPr="001378FA">
              <w:rPr>
                <w:rFonts w:cstheme="minorHAnsi" w:hint="cs"/>
                <w:b/>
                <w:bCs/>
                <w:color w:val="FF0000"/>
                <w:sz w:val="32"/>
                <w:cs/>
                <w:lang w:bidi="hi-IN"/>
              </w:rPr>
              <w:t>3.</w:t>
            </w:r>
            <w:r w:rsidRPr="001378FA">
              <w:rPr>
                <w:rFonts w:cstheme="minorHAnsi"/>
                <w:b/>
                <w:bCs/>
                <w:color w:val="FF0000"/>
                <w:sz w:val="32"/>
                <w:lang w:bidi="hi-IN"/>
              </w:rPr>
              <w:t xml:space="preserve"> India-UAE Comprehensive Economic Partnership Agreement (CEPA)</w:t>
            </w:r>
          </w:p>
          <w:p w:rsidR="00A60EF9" w:rsidRPr="00E2701E" w:rsidRDefault="00A60EF9" w:rsidP="00B55781">
            <w:pPr>
              <w:spacing w:line="235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A60EF9" w:rsidRPr="00E2701E" w:rsidTr="006C62B0">
        <w:tc>
          <w:tcPr>
            <w:tcW w:w="6516" w:type="dxa"/>
          </w:tcPr>
          <w:p w:rsidR="00BF6E3E" w:rsidRPr="001378FA" w:rsidRDefault="00BF6E3E" w:rsidP="001378FA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1378FA">
              <w:rPr>
                <w:rFonts w:cstheme="minorHAnsi"/>
              </w:rPr>
              <w:t>India-UAE (CEPA) was signed on 18 February 2022, and entered into force from 01 May 2022.</w:t>
            </w:r>
          </w:p>
          <w:p w:rsidR="00A60EF9" w:rsidRPr="001378FA" w:rsidRDefault="00A60EF9" w:rsidP="001378FA">
            <w:pPr>
              <w:pStyle w:val="ListParagraph"/>
              <w:numPr>
                <w:ilvl w:val="0"/>
                <w:numId w:val="17"/>
              </w:numPr>
              <w:spacing w:line="235" w:lineRule="atLeast"/>
              <w:jc w:val="both"/>
              <w:rPr>
                <w:rFonts w:cstheme="minorHAnsi"/>
              </w:rPr>
            </w:pPr>
            <w:r w:rsidRPr="001378FA">
              <w:rPr>
                <w:rFonts w:cstheme="minorHAnsi"/>
              </w:rPr>
              <w:t xml:space="preserve">The </w:t>
            </w:r>
            <w:r w:rsidRPr="001378FA">
              <w:rPr>
                <w:rFonts w:cstheme="minorHAnsi"/>
                <w:bCs/>
              </w:rPr>
              <w:t>1</w:t>
            </w:r>
            <w:r w:rsidRPr="001378FA">
              <w:rPr>
                <w:rFonts w:cstheme="minorHAnsi"/>
                <w:bCs/>
                <w:vertAlign w:val="superscript"/>
              </w:rPr>
              <w:t xml:space="preserve">st </w:t>
            </w:r>
            <w:r w:rsidRPr="001378FA">
              <w:rPr>
                <w:rFonts w:cstheme="minorHAnsi"/>
                <w:bCs/>
                <w:lang w:bidi="hi-IN"/>
              </w:rPr>
              <w:t>Meeting of the Joint Committee of the India-UAE CEPA</w:t>
            </w:r>
            <w:r w:rsidRPr="001378FA">
              <w:rPr>
                <w:rFonts w:cstheme="minorHAnsi"/>
                <w:lang w:bidi="hi-IN"/>
              </w:rPr>
              <w:t xml:space="preserve"> </w:t>
            </w:r>
            <w:r w:rsidRPr="001378FA">
              <w:rPr>
                <w:rFonts w:cstheme="minorHAnsi"/>
              </w:rPr>
              <w:t>was held on 11-12 June 2023 in New Delhi, India.</w:t>
            </w:r>
          </w:p>
          <w:p w:rsidR="00A60EF9" w:rsidRPr="001378FA" w:rsidRDefault="00A60EF9" w:rsidP="001378FA">
            <w:pPr>
              <w:pStyle w:val="ListParagraph"/>
              <w:numPr>
                <w:ilvl w:val="0"/>
                <w:numId w:val="17"/>
              </w:numPr>
              <w:spacing w:line="235" w:lineRule="atLeast"/>
              <w:jc w:val="both"/>
              <w:rPr>
                <w:rFonts w:eastAsia="Times New Roman" w:cstheme="minorHAnsi"/>
                <w:color w:val="000000"/>
              </w:rPr>
            </w:pPr>
            <w:r w:rsidRPr="001378FA">
              <w:rPr>
                <w:rFonts w:cstheme="minorHAnsi"/>
              </w:rPr>
              <w:t>Recognizing the need for further enhancement of bilateral trade between the two countries, particularly under the CEPA, both sides agreed to operationalize the Sub-Committees including the sub-committee  on Rules of Origin in a time bound manner.</w:t>
            </w:r>
          </w:p>
        </w:tc>
        <w:tc>
          <w:tcPr>
            <w:tcW w:w="6951" w:type="dxa"/>
          </w:tcPr>
          <w:p w:rsidR="00A60EF9" w:rsidRPr="00E2701E" w:rsidRDefault="00A60EF9" w:rsidP="00B55781">
            <w:pPr>
              <w:spacing w:line="235" w:lineRule="atLeast"/>
              <w:jc w:val="both"/>
              <w:rPr>
                <w:rFonts w:eastAsia="Times New Roman" w:cstheme="minorHAnsi"/>
                <w:color w:val="000000"/>
              </w:rPr>
            </w:pPr>
            <w:r w:rsidRPr="00E2701E">
              <w:rPr>
                <w:rFonts w:eastAsia="Times New Roman" w:cstheme="minorHAnsi"/>
                <w:color w:val="000000"/>
              </w:rPr>
              <w:t xml:space="preserve">Based on the inputs received from the stakeholders, Indian side made the following suggestions to address </w:t>
            </w:r>
            <w:r>
              <w:rPr>
                <w:rFonts w:eastAsia="Times New Roman" w:cstheme="minorHAnsi"/>
                <w:color w:val="000000"/>
              </w:rPr>
              <w:t>certain</w:t>
            </w:r>
            <w:r w:rsidRPr="00E2701E">
              <w:rPr>
                <w:rFonts w:eastAsia="Times New Roman" w:cstheme="minorHAnsi"/>
                <w:color w:val="000000"/>
              </w:rPr>
              <w:t xml:space="preserve"> hurdles</w:t>
            </w:r>
            <w:r>
              <w:rPr>
                <w:rFonts w:eastAsia="Times New Roman" w:cstheme="minorHAnsi"/>
                <w:color w:val="000000"/>
              </w:rPr>
              <w:t xml:space="preserve"> related to the ROO </w:t>
            </w:r>
            <w:r w:rsidRPr="00E2701E">
              <w:rPr>
                <w:rFonts w:eastAsia="Times New Roman" w:cstheme="minorHAnsi"/>
                <w:color w:val="000000"/>
              </w:rPr>
              <w:t xml:space="preserve"> for effective utilization of the CEPA by all the stakeholders.</w:t>
            </w:r>
            <w:r>
              <w:rPr>
                <w:rFonts w:eastAsia="Times New Roman" w:cstheme="minorHAnsi"/>
                <w:color w:val="000000"/>
              </w:rPr>
              <w:t xml:space="preserve"> Following are a few suggestions:</w:t>
            </w:r>
          </w:p>
          <w:p w:rsidR="00A60EF9" w:rsidRPr="00A60EF9" w:rsidRDefault="00A60EF9" w:rsidP="007F73AE">
            <w:pPr>
              <w:pStyle w:val="ListParagraph"/>
              <w:numPr>
                <w:ilvl w:val="0"/>
                <w:numId w:val="11"/>
              </w:numPr>
              <w:spacing w:line="235" w:lineRule="atLeast"/>
              <w:jc w:val="both"/>
              <w:rPr>
                <w:rFonts w:eastAsia="Times New Roman" w:cstheme="minorHAnsi"/>
                <w:color w:val="000000"/>
              </w:rPr>
            </w:pPr>
            <w:r w:rsidRPr="00A60EF9">
              <w:rPr>
                <w:rFonts w:eastAsia="Times New Roman" w:cstheme="minorHAnsi"/>
                <w:color w:val="000000"/>
              </w:rPr>
              <w:t xml:space="preserve">Amendment to the Minimum Required Information template of the “Certificate of Origin (COO)” issued under this Agreement by making the field – “Producer/manufacturer name” – in the COO optional. </w:t>
            </w:r>
          </w:p>
          <w:p w:rsidR="00A60EF9" w:rsidRDefault="00A60EF9" w:rsidP="007F73AE">
            <w:pPr>
              <w:pStyle w:val="ListParagraph"/>
              <w:numPr>
                <w:ilvl w:val="0"/>
                <w:numId w:val="11"/>
              </w:numPr>
              <w:spacing w:line="235" w:lineRule="atLeast"/>
              <w:jc w:val="both"/>
              <w:rPr>
                <w:rFonts w:eastAsia="Times New Roman" w:cstheme="minorHAnsi"/>
                <w:color w:val="000000"/>
              </w:rPr>
            </w:pPr>
            <w:r w:rsidRPr="00A60EF9">
              <w:rPr>
                <w:rFonts w:eastAsia="Times New Roman" w:cstheme="minorHAnsi"/>
                <w:color w:val="000000"/>
              </w:rPr>
              <w:t>Amendment to Annex 3A by making column ‘L’ in the table under para 5 optional.</w:t>
            </w:r>
          </w:p>
          <w:p w:rsidR="00A60EF9" w:rsidRDefault="00A60EF9" w:rsidP="007F73AE">
            <w:pPr>
              <w:pStyle w:val="ListParagraph"/>
              <w:numPr>
                <w:ilvl w:val="0"/>
                <w:numId w:val="11"/>
              </w:numPr>
              <w:spacing w:line="235" w:lineRule="atLeast"/>
              <w:jc w:val="both"/>
              <w:rPr>
                <w:rFonts w:eastAsia="Times New Roman" w:cstheme="minorHAnsi"/>
                <w:color w:val="000000"/>
              </w:rPr>
            </w:pPr>
            <w:r w:rsidRPr="00A60EF9">
              <w:rPr>
                <w:rFonts w:eastAsia="Times New Roman" w:cstheme="minorHAnsi"/>
                <w:color w:val="000000"/>
              </w:rPr>
              <w:t xml:space="preserve">CEPA, vide Article 2.6 permits preferential treatment to be given to temporary exports too. However, no procedure has been earmarked for issuance of </w:t>
            </w:r>
            <w:proofErr w:type="spellStart"/>
            <w:r w:rsidRPr="00A60EF9">
              <w:rPr>
                <w:rFonts w:eastAsia="Times New Roman" w:cstheme="minorHAnsi"/>
                <w:color w:val="000000"/>
              </w:rPr>
              <w:t>CoOs</w:t>
            </w:r>
            <w:proofErr w:type="spellEnd"/>
            <w:r w:rsidRPr="00A60EF9">
              <w:rPr>
                <w:rFonts w:eastAsia="Times New Roman" w:cstheme="minorHAnsi"/>
                <w:color w:val="000000"/>
              </w:rPr>
              <w:t xml:space="preserve"> for consignment exports (including exports to exhibitions/ export promotion tour), which </w:t>
            </w:r>
            <w:r w:rsidRPr="00A60EF9">
              <w:rPr>
                <w:rFonts w:eastAsia="Times New Roman" w:cstheme="minorHAnsi"/>
                <w:color w:val="000000"/>
              </w:rPr>
              <w:lastRenderedPageBreak/>
              <w:t>are a form of temporary exports. Procedure for the same may be formulated and accordingly notified as per the concerned CEPA provisions.</w:t>
            </w:r>
          </w:p>
          <w:p w:rsidR="00A60EF9" w:rsidRDefault="00A60EF9" w:rsidP="007F73AE">
            <w:pPr>
              <w:pStyle w:val="ListParagraph"/>
              <w:numPr>
                <w:ilvl w:val="0"/>
                <w:numId w:val="11"/>
              </w:numPr>
              <w:spacing w:line="235" w:lineRule="atLeast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Any issue related to the Product Specific Rules (PSRs)</w:t>
            </w:r>
          </w:p>
          <w:p w:rsidR="00A60EF9" w:rsidRPr="00A60EF9" w:rsidRDefault="00A60EF9" w:rsidP="00A60EF9">
            <w:pPr>
              <w:pStyle w:val="ListParagraph"/>
              <w:spacing w:line="235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A60EF9" w:rsidRPr="00E2701E" w:rsidTr="00A95C44">
        <w:tc>
          <w:tcPr>
            <w:tcW w:w="13467" w:type="dxa"/>
            <w:gridSpan w:val="2"/>
          </w:tcPr>
          <w:p w:rsidR="00A60EF9" w:rsidRDefault="00A60EF9" w:rsidP="00B55781">
            <w:pPr>
              <w:spacing w:line="235" w:lineRule="atLeast"/>
              <w:jc w:val="both"/>
              <w:rPr>
                <w:rFonts w:cstheme="minorHAnsi"/>
                <w:b/>
                <w:lang w:val="en-US"/>
              </w:rPr>
            </w:pPr>
          </w:p>
          <w:p w:rsidR="00A60EF9" w:rsidRPr="001378FA" w:rsidRDefault="00A60EF9" w:rsidP="00B55781">
            <w:pPr>
              <w:spacing w:line="235" w:lineRule="atLeast"/>
              <w:jc w:val="both"/>
              <w:rPr>
                <w:rFonts w:cstheme="minorHAnsi"/>
                <w:b/>
                <w:color w:val="FF0000"/>
                <w:sz w:val="32"/>
                <w:lang w:val="en-US"/>
              </w:rPr>
            </w:pPr>
            <w:r w:rsidRPr="001378FA">
              <w:rPr>
                <w:rFonts w:cstheme="minorHAnsi"/>
                <w:b/>
                <w:color w:val="FF0000"/>
                <w:sz w:val="32"/>
                <w:lang w:val="en-US"/>
              </w:rPr>
              <w:t xml:space="preserve">4. India-Sri Lanka </w:t>
            </w:r>
            <w:r w:rsidR="006C62B0" w:rsidRPr="001378FA">
              <w:rPr>
                <w:rFonts w:cstheme="minorHAnsi"/>
                <w:b/>
                <w:color w:val="FF0000"/>
                <w:sz w:val="32"/>
                <w:lang w:val="en-US"/>
              </w:rPr>
              <w:t>Economic and Technology Cooperation Agreement (</w:t>
            </w:r>
            <w:r w:rsidRPr="001378FA">
              <w:rPr>
                <w:rFonts w:cstheme="minorHAnsi"/>
                <w:b/>
                <w:color w:val="FF0000"/>
                <w:sz w:val="32"/>
                <w:lang w:val="en-US"/>
              </w:rPr>
              <w:t>ETCA</w:t>
            </w:r>
            <w:r w:rsidR="006C62B0" w:rsidRPr="001378FA">
              <w:rPr>
                <w:rFonts w:cstheme="minorHAnsi"/>
                <w:b/>
                <w:color w:val="FF0000"/>
                <w:sz w:val="32"/>
                <w:lang w:val="en-US"/>
              </w:rPr>
              <w:t>)</w:t>
            </w:r>
          </w:p>
          <w:p w:rsidR="00A60EF9" w:rsidRPr="00A60EF9" w:rsidRDefault="00A60EF9" w:rsidP="00B55781">
            <w:pPr>
              <w:spacing w:line="235" w:lineRule="atLeast"/>
              <w:jc w:val="both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A60EF9" w:rsidRPr="00E2701E" w:rsidTr="006C62B0">
        <w:tc>
          <w:tcPr>
            <w:tcW w:w="6516" w:type="dxa"/>
          </w:tcPr>
          <w:p w:rsidR="007F73AE" w:rsidRPr="001378FA" w:rsidRDefault="007F73AE" w:rsidP="001378FA">
            <w:pPr>
              <w:pStyle w:val="ListParagraph"/>
              <w:numPr>
                <w:ilvl w:val="0"/>
                <w:numId w:val="18"/>
              </w:numPr>
              <w:spacing w:line="235" w:lineRule="atLeast"/>
              <w:jc w:val="both"/>
              <w:rPr>
                <w:rFonts w:cstheme="minorHAnsi"/>
                <w:lang w:val="en-US"/>
              </w:rPr>
            </w:pPr>
            <w:r w:rsidRPr="001378FA">
              <w:rPr>
                <w:rFonts w:cstheme="minorHAnsi"/>
                <w:lang w:val="en-US"/>
              </w:rPr>
              <w:t>India-Sri Lanka Free Trade Agreement (ISFTA) was signed on 28th December 1998, entered into force on 01st March 2000.</w:t>
            </w:r>
          </w:p>
          <w:p w:rsidR="00A60EF9" w:rsidRPr="001378FA" w:rsidRDefault="00A60EF9" w:rsidP="001378FA">
            <w:pPr>
              <w:pStyle w:val="ListParagraph"/>
              <w:numPr>
                <w:ilvl w:val="0"/>
                <w:numId w:val="18"/>
              </w:numPr>
              <w:spacing w:line="235" w:lineRule="atLeast"/>
              <w:jc w:val="both"/>
              <w:rPr>
                <w:rFonts w:cstheme="minorHAnsi"/>
                <w:cs/>
                <w:lang w:val="en-US" w:bidi="hi-IN"/>
              </w:rPr>
            </w:pPr>
            <w:r w:rsidRPr="001378FA">
              <w:rPr>
                <w:rFonts w:cstheme="minorHAnsi"/>
                <w:lang w:val="en-US"/>
              </w:rPr>
              <w:t xml:space="preserve">Eleven rounds of negotiations </w:t>
            </w:r>
            <w:r w:rsidR="007F73AE" w:rsidRPr="001378FA">
              <w:rPr>
                <w:rFonts w:cstheme="minorHAnsi"/>
                <w:lang w:val="en-US"/>
              </w:rPr>
              <w:t>for IS</w:t>
            </w:r>
            <w:r w:rsidRPr="001378FA">
              <w:rPr>
                <w:rFonts w:cstheme="minorHAnsi"/>
                <w:lang w:val="en-US"/>
              </w:rPr>
              <w:t xml:space="preserve"> ETCA have been concluded and last round of negotiation was held in October, 2018 in Colombo</w:t>
            </w:r>
            <w:r w:rsidRPr="001378FA">
              <w:rPr>
                <w:rFonts w:cstheme="minorHAnsi"/>
                <w:cs/>
                <w:lang w:val="en-US" w:bidi="hi-IN"/>
              </w:rPr>
              <w:t xml:space="preserve">. </w:t>
            </w:r>
            <w:r w:rsidRPr="001378FA">
              <w:rPr>
                <w:rFonts w:cstheme="minorHAnsi"/>
                <w:lang w:val="en-US"/>
              </w:rPr>
              <w:t>However, no negotiations have held thereafter</w:t>
            </w:r>
            <w:r w:rsidRPr="001378FA">
              <w:rPr>
                <w:rFonts w:cstheme="minorHAnsi"/>
                <w:cs/>
                <w:lang w:val="en-US" w:bidi="hi-IN"/>
              </w:rPr>
              <w:t xml:space="preserve">. </w:t>
            </w:r>
          </w:p>
          <w:p w:rsidR="00A60EF9" w:rsidRPr="001378FA" w:rsidRDefault="00A60EF9" w:rsidP="001378FA">
            <w:pPr>
              <w:pStyle w:val="ListParagraph"/>
              <w:numPr>
                <w:ilvl w:val="0"/>
                <w:numId w:val="18"/>
              </w:numPr>
              <w:spacing w:line="235" w:lineRule="atLeast"/>
              <w:jc w:val="both"/>
              <w:rPr>
                <w:rFonts w:cstheme="minorHAnsi"/>
              </w:rPr>
            </w:pPr>
            <w:r w:rsidRPr="001378FA">
              <w:rPr>
                <w:rFonts w:cstheme="minorHAnsi"/>
                <w:lang w:val="en-US"/>
              </w:rPr>
              <w:t>The scope of ETCA covers  Rules of Origin for which Working Groups would be constituted to carry out discussions</w:t>
            </w:r>
            <w:r w:rsidRPr="001378FA">
              <w:rPr>
                <w:rFonts w:cstheme="minorHAnsi"/>
                <w:cs/>
                <w:lang w:val="en-US" w:bidi="hi-IN"/>
              </w:rPr>
              <w:t>.</w:t>
            </w:r>
            <w:bookmarkStart w:id="0" w:name="_GoBack"/>
            <w:bookmarkEnd w:id="0"/>
          </w:p>
        </w:tc>
        <w:tc>
          <w:tcPr>
            <w:tcW w:w="6951" w:type="dxa"/>
          </w:tcPr>
          <w:p w:rsidR="00913747" w:rsidRDefault="007F73AE" w:rsidP="007F73AE">
            <w:pPr>
              <w:spacing w:line="235" w:lineRule="atLeast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The existing</w:t>
            </w:r>
            <w:r>
              <w:t xml:space="preserve"> </w:t>
            </w:r>
            <w:r w:rsidRPr="007F73AE">
              <w:rPr>
                <w:rFonts w:eastAsia="Times New Roman" w:cstheme="minorHAnsi"/>
                <w:color w:val="000000"/>
              </w:rPr>
              <w:t>Rules of Origin (ROOs) Criteria for export products which are not wholly obtained or produc</w:t>
            </w:r>
            <w:r w:rsidR="00913747">
              <w:rPr>
                <w:rFonts w:eastAsia="Times New Roman" w:cstheme="minorHAnsi"/>
                <w:color w:val="000000"/>
              </w:rPr>
              <w:t xml:space="preserve">ed </w:t>
            </w:r>
            <w:r w:rsidRPr="007F73AE">
              <w:rPr>
                <w:rFonts w:eastAsia="Times New Roman" w:cstheme="minorHAnsi"/>
                <w:color w:val="000000"/>
              </w:rPr>
              <w:t xml:space="preserve">in Sri Lanka </w:t>
            </w:r>
            <w:r w:rsidR="00913747">
              <w:rPr>
                <w:rFonts w:eastAsia="Times New Roman" w:cstheme="minorHAnsi"/>
                <w:color w:val="000000"/>
              </w:rPr>
              <w:t>include:</w:t>
            </w:r>
          </w:p>
          <w:p w:rsidR="007F73AE" w:rsidRPr="00913747" w:rsidRDefault="007F73AE" w:rsidP="00913747">
            <w:pPr>
              <w:pStyle w:val="ListParagraph"/>
              <w:numPr>
                <w:ilvl w:val="0"/>
                <w:numId w:val="13"/>
              </w:numPr>
              <w:spacing w:line="235" w:lineRule="atLeast"/>
              <w:jc w:val="both"/>
              <w:rPr>
                <w:rFonts w:eastAsia="Times New Roman" w:cstheme="minorHAnsi"/>
                <w:color w:val="000000"/>
              </w:rPr>
            </w:pPr>
            <w:r w:rsidRPr="00913747">
              <w:rPr>
                <w:rFonts w:eastAsia="Times New Roman" w:cstheme="minorHAnsi"/>
                <w:color w:val="000000"/>
              </w:rPr>
              <w:t>Minimum Domestic Value Addition (DVA)- 35% of FOB price</w:t>
            </w:r>
          </w:p>
          <w:p w:rsidR="007F73AE" w:rsidRPr="00913747" w:rsidRDefault="007F73AE" w:rsidP="00913747">
            <w:pPr>
              <w:pStyle w:val="ListParagraph"/>
              <w:numPr>
                <w:ilvl w:val="0"/>
                <w:numId w:val="13"/>
              </w:numPr>
              <w:spacing w:line="235" w:lineRule="atLeast"/>
              <w:jc w:val="both"/>
              <w:rPr>
                <w:rFonts w:eastAsia="Times New Roman" w:cstheme="minorHAnsi"/>
                <w:color w:val="000000"/>
              </w:rPr>
            </w:pPr>
            <w:r w:rsidRPr="00913747">
              <w:rPr>
                <w:rFonts w:eastAsia="Times New Roman" w:cstheme="minorHAnsi"/>
                <w:color w:val="000000"/>
              </w:rPr>
              <w:t>With inputs from India -Minimum DVA in Sri Lanka is 25% of FOB price and the Aggregate Value Addition (Sri Lanka+ India) should be at least 35% of FOB price.</w:t>
            </w:r>
          </w:p>
          <w:p w:rsidR="007F73AE" w:rsidRPr="00913747" w:rsidRDefault="007F73AE" w:rsidP="00913747">
            <w:pPr>
              <w:pStyle w:val="ListParagraph"/>
              <w:numPr>
                <w:ilvl w:val="0"/>
                <w:numId w:val="13"/>
              </w:numPr>
              <w:spacing w:line="235" w:lineRule="atLeast"/>
              <w:jc w:val="both"/>
              <w:rPr>
                <w:rFonts w:eastAsia="Times New Roman" w:cstheme="minorHAnsi"/>
                <w:color w:val="000000"/>
              </w:rPr>
            </w:pPr>
            <w:r w:rsidRPr="00913747">
              <w:rPr>
                <w:rFonts w:eastAsia="Times New Roman" w:cstheme="minorHAnsi"/>
                <w:color w:val="000000"/>
              </w:rPr>
              <w:t>Change of Tariff Heading (CTH) at HS 4-Digit Level</w:t>
            </w:r>
          </w:p>
          <w:p w:rsidR="007F73AE" w:rsidRPr="00913747" w:rsidRDefault="007F73AE" w:rsidP="00913747">
            <w:pPr>
              <w:pStyle w:val="ListParagraph"/>
              <w:numPr>
                <w:ilvl w:val="0"/>
                <w:numId w:val="13"/>
              </w:numPr>
              <w:spacing w:line="235" w:lineRule="atLeast"/>
              <w:jc w:val="both"/>
              <w:rPr>
                <w:rFonts w:eastAsia="Times New Roman" w:cstheme="minorHAnsi"/>
                <w:color w:val="000000"/>
              </w:rPr>
            </w:pPr>
            <w:r w:rsidRPr="00913747">
              <w:rPr>
                <w:rFonts w:eastAsia="Times New Roman" w:cstheme="minorHAnsi"/>
                <w:color w:val="000000"/>
              </w:rPr>
              <w:t>Sufficient Working or Processing in Sri Lanka</w:t>
            </w:r>
          </w:p>
          <w:p w:rsidR="007F73AE" w:rsidRPr="00913747" w:rsidRDefault="007F73AE" w:rsidP="00913747">
            <w:pPr>
              <w:pStyle w:val="ListParagraph"/>
              <w:numPr>
                <w:ilvl w:val="0"/>
                <w:numId w:val="13"/>
              </w:numPr>
              <w:spacing w:line="235" w:lineRule="atLeast"/>
              <w:jc w:val="both"/>
              <w:rPr>
                <w:rFonts w:eastAsia="Times New Roman" w:cstheme="minorHAnsi"/>
                <w:color w:val="000000"/>
              </w:rPr>
            </w:pPr>
            <w:r w:rsidRPr="00913747">
              <w:rPr>
                <w:rFonts w:eastAsia="Times New Roman" w:cstheme="minorHAnsi"/>
                <w:color w:val="000000"/>
              </w:rPr>
              <w:t>The final manufacturing process should take place in Sri Lanka</w:t>
            </w:r>
          </w:p>
          <w:p w:rsidR="007F73AE" w:rsidRDefault="007F73AE" w:rsidP="00913747">
            <w:pPr>
              <w:pStyle w:val="ListParagraph"/>
              <w:numPr>
                <w:ilvl w:val="0"/>
                <w:numId w:val="13"/>
              </w:numPr>
              <w:spacing w:line="235" w:lineRule="atLeast"/>
              <w:jc w:val="both"/>
              <w:rPr>
                <w:rFonts w:eastAsia="Times New Roman" w:cstheme="minorHAnsi"/>
                <w:color w:val="000000"/>
              </w:rPr>
            </w:pPr>
            <w:r w:rsidRPr="00913747">
              <w:rPr>
                <w:rFonts w:eastAsia="Times New Roman" w:cstheme="minorHAnsi"/>
                <w:color w:val="000000"/>
              </w:rPr>
              <w:t>Direct Consignment</w:t>
            </w:r>
          </w:p>
          <w:p w:rsidR="00913747" w:rsidRDefault="00913747" w:rsidP="00913747">
            <w:pPr>
              <w:spacing w:line="235" w:lineRule="atLeast"/>
              <w:jc w:val="both"/>
              <w:rPr>
                <w:rFonts w:eastAsia="Times New Roman" w:cstheme="minorHAnsi"/>
                <w:color w:val="000000"/>
              </w:rPr>
            </w:pPr>
          </w:p>
          <w:p w:rsidR="00913747" w:rsidRDefault="00913747" w:rsidP="00913747">
            <w:pPr>
              <w:spacing w:line="235" w:lineRule="atLeast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India’s major ask:</w:t>
            </w:r>
          </w:p>
          <w:p w:rsidR="00913747" w:rsidRPr="00913747" w:rsidRDefault="00913747" w:rsidP="00913747">
            <w:pPr>
              <w:pStyle w:val="ListParagraph"/>
              <w:numPr>
                <w:ilvl w:val="0"/>
                <w:numId w:val="14"/>
              </w:numPr>
              <w:spacing w:line="235" w:lineRule="atLeast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Product Specific Issues for all the products</w:t>
            </w:r>
          </w:p>
          <w:p w:rsidR="00A60EF9" w:rsidRPr="00E2701E" w:rsidRDefault="00A60EF9" w:rsidP="00B55781">
            <w:pPr>
              <w:spacing w:line="235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</w:tbl>
    <w:p w:rsidR="00B16E04" w:rsidRPr="00E2701E" w:rsidRDefault="00B16E04">
      <w:pPr>
        <w:rPr>
          <w:rFonts w:cstheme="minorHAnsi"/>
        </w:rPr>
      </w:pPr>
    </w:p>
    <w:sectPr w:rsidR="00B16E04" w:rsidRPr="00E2701E" w:rsidSect="00967B2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5A8D"/>
    <w:multiLevelType w:val="hybridMultilevel"/>
    <w:tmpl w:val="16924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A342F"/>
    <w:multiLevelType w:val="hybridMultilevel"/>
    <w:tmpl w:val="647C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A5803"/>
    <w:multiLevelType w:val="hybridMultilevel"/>
    <w:tmpl w:val="87007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821A0"/>
    <w:multiLevelType w:val="hybridMultilevel"/>
    <w:tmpl w:val="541A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C2B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C4570E"/>
    <w:multiLevelType w:val="hybridMultilevel"/>
    <w:tmpl w:val="003C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56312"/>
    <w:multiLevelType w:val="hybridMultilevel"/>
    <w:tmpl w:val="4978F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B09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8220C10"/>
    <w:multiLevelType w:val="hybridMultilevel"/>
    <w:tmpl w:val="CA4A3682"/>
    <w:lvl w:ilvl="0" w:tplc="68923B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BC2AB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ACD6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8C2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C6C6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83E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1CFC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0EF0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E226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13228"/>
    <w:multiLevelType w:val="hybridMultilevel"/>
    <w:tmpl w:val="E29C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D32E9"/>
    <w:multiLevelType w:val="multilevel"/>
    <w:tmpl w:val="A328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E859E6"/>
    <w:multiLevelType w:val="hybridMultilevel"/>
    <w:tmpl w:val="4978F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175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22959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2515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5493668"/>
    <w:multiLevelType w:val="multilevel"/>
    <w:tmpl w:val="D78CA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995E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C842780"/>
    <w:multiLevelType w:val="hybridMultilevel"/>
    <w:tmpl w:val="48C2B98E"/>
    <w:lvl w:ilvl="0" w:tplc="FC2831A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1"/>
  </w:num>
  <w:num w:numId="5">
    <w:abstractNumId w:val="17"/>
  </w:num>
  <w:num w:numId="6">
    <w:abstractNumId w:val="11"/>
  </w:num>
  <w:num w:numId="7">
    <w:abstractNumId w:val="6"/>
  </w:num>
  <w:num w:numId="8">
    <w:abstractNumId w:val="4"/>
  </w:num>
  <w:num w:numId="9">
    <w:abstractNumId w:val="8"/>
  </w:num>
  <w:num w:numId="10">
    <w:abstractNumId w:val="14"/>
  </w:num>
  <w:num w:numId="11">
    <w:abstractNumId w:val="13"/>
  </w:num>
  <w:num w:numId="12">
    <w:abstractNumId w:val="9"/>
  </w:num>
  <w:num w:numId="13">
    <w:abstractNumId w:val="12"/>
  </w:num>
  <w:num w:numId="14">
    <w:abstractNumId w:val="16"/>
  </w:num>
  <w:num w:numId="15">
    <w:abstractNumId w:val="5"/>
  </w:num>
  <w:num w:numId="16">
    <w:abstractNumId w:val="3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5A"/>
    <w:rsid w:val="0013225A"/>
    <w:rsid w:val="001378FA"/>
    <w:rsid w:val="00263DB6"/>
    <w:rsid w:val="002C5A07"/>
    <w:rsid w:val="003F1E14"/>
    <w:rsid w:val="00683E4C"/>
    <w:rsid w:val="006B3F52"/>
    <w:rsid w:val="006C62B0"/>
    <w:rsid w:val="006F2C73"/>
    <w:rsid w:val="007F73AE"/>
    <w:rsid w:val="00913747"/>
    <w:rsid w:val="00967B20"/>
    <w:rsid w:val="00A60EF9"/>
    <w:rsid w:val="00B00BEB"/>
    <w:rsid w:val="00B16E04"/>
    <w:rsid w:val="00BF6E3E"/>
    <w:rsid w:val="00E2701E"/>
    <w:rsid w:val="00E355E7"/>
    <w:rsid w:val="00E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48F3FC"/>
  <w15:chartTrackingRefBased/>
  <w15:docId w15:val="{9A8FD0B6-924B-E34B-8906-77A306E0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item">
    <w:name w:val="listitem"/>
    <w:basedOn w:val="Normal"/>
    <w:rsid w:val="001322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3225A"/>
    <w:rPr>
      <w:b/>
      <w:bCs/>
    </w:rPr>
  </w:style>
  <w:style w:type="paragraph" w:customStyle="1" w:styleId="normal1">
    <w:name w:val="normal1"/>
    <w:basedOn w:val="Normal"/>
    <w:rsid w:val="002C5A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C5A07"/>
  </w:style>
  <w:style w:type="character" w:customStyle="1" w:styleId="object">
    <w:name w:val="object"/>
    <w:basedOn w:val="DefaultParagraphFont"/>
    <w:rsid w:val="002C5A07"/>
  </w:style>
  <w:style w:type="table" w:styleId="TableGrid">
    <w:name w:val="Table Grid"/>
    <w:basedOn w:val="TableNormal"/>
    <w:uiPriority w:val="39"/>
    <w:rsid w:val="002C5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355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60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1365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7339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749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7419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470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72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4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anupam Kumar</dc:creator>
  <cp:keywords/>
  <dc:description/>
  <cp:lastModifiedBy>anupam Kumar</cp:lastModifiedBy>
  <cp:revision>3</cp:revision>
  <dcterms:created xsi:type="dcterms:W3CDTF">2023-06-19T04:35:00Z</dcterms:created>
  <dcterms:modified xsi:type="dcterms:W3CDTF">2023-06-19T04:38:00Z</dcterms:modified>
</cp:coreProperties>
</file>